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95" w:rsidRDefault="00A51D95" w:rsidP="00BB594B">
      <w:pPr>
        <w:spacing w:after="0" w:line="240" w:lineRule="auto"/>
        <w:jc w:val="center"/>
        <w:rPr>
          <w:b/>
        </w:rPr>
      </w:pPr>
      <w:r>
        <w:rPr>
          <w:b/>
        </w:rPr>
        <w:t>5. s</w:t>
      </w:r>
      <w:r w:rsidRPr="009F5AFB">
        <w:rPr>
          <w:b/>
        </w:rPr>
        <w:t>astanak Vijeća poslijediplomskog studija TRIBE</w:t>
      </w:r>
    </w:p>
    <w:p w:rsidR="00A51D95" w:rsidRDefault="00A51D95" w:rsidP="00BB594B">
      <w:pPr>
        <w:spacing w:after="0" w:line="240" w:lineRule="auto"/>
        <w:jc w:val="center"/>
        <w:rPr>
          <w:b/>
        </w:rPr>
      </w:pPr>
      <w:r>
        <w:rPr>
          <w:b/>
        </w:rPr>
        <w:t>17. svibnja 2012.</w:t>
      </w:r>
    </w:p>
    <w:p w:rsidR="00A51D95" w:rsidRPr="009F5AFB" w:rsidRDefault="00A51D95" w:rsidP="00BB594B">
      <w:pPr>
        <w:spacing w:after="0" w:line="240" w:lineRule="auto"/>
        <w:jc w:val="center"/>
        <w:rPr>
          <w:b/>
        </w:rPr>
      </w:pPr>
      <w:r w:rsidRPr="009F5AFB">
        <w:rPr>
          <w:b/>
        </w:rPr>
        <w:t>Zapisnik</w:t>
      </w:r>
    </w:p>
    <w:p w:rsidR="00A51D95" w:rsidRPr="00BD58E5" w:rsidRDefault="00A51D95" w:rsidP="00BB594B">
      <w:pPr>
        <w:spacing w:after="0" w:line="240" w:lineRule="auto"/>
        <w:rPr>
          <w:b/>
        </w:rPr>
      </w:pPr>
    </w:p>
    <w:p w:rsidR="00A51D95" w:rsidRPr="00BD58E5" w:rsidRDefault="00A51D95" w:rsidP="00BB594B">
      <w:pPr>
        <w:spacing w:after="0" w:line="240" w:lineRule="auto"/>
        <w:rPr>
          <w:b/>
        </w:rPr>
      </w:pPr>
      <w:r w:rsidRPr="00BD58E5">
        <w:rPr>
          <w:b/>
        </w:rPr>
        <w:t>Dnevni red:</w:t>
      </w:r>
    </w:p>
    <w:p w:rsidR="00A51D95" w:rsidRDefault="00A51D95" w:rsidP="00BB594B">
      <w:pPr>
        <w:pStyle w:val="ListParagraph"/>
        <w:numPr>
          <w:ilvl w:val="0"/>
          <w:numId w:val="1"/>
        </w:numPr>
        <w:spacing w:after="0" w:line="240" w:lineRule="auto"/>
      </w:pPr>
      <w:r>
        <w:t>Odluka o nastavi Tee Andabake</w:t>
      </w:r>
    </w:p>
    <w:p w:rsidR="00A51D95" w:rsidRDefault="00A51D95" w:rsidP="00BB594B">
      <w:pPr>
        <w:pStyle w:val="ListParagraph"/>
        <w:numPr>
          <w:ilvl w:val="0"/>
          <w:numId w:val="1"/>
        </w:numPr>
        <w:spacing w:after="0" w:line="240" w:lineRule="auto"/>
      </w:pPr>
      <w:r>
        <w:t>Zamolba Tee Andabake za oslobađanje od skupnog ispita</w:t>
      </w:r>
    </w:p>
    <w:p w:rsidR="00A51D95" w:rsidRDefault="00A51D95" w:rsidP="00BB594B">
      <w:pPr>
        <w:pStyle w:val="ListParagraph"/>
        <w:numPr>
          <w:ilvl w:val="0"/>
          <w:numId w:val="1"/>
        </w:numPr>
        <w:spacing w:after="0" w:line="240" w:lineRule="auto"/>
      </w:pPr>
      <w:r>
        <w:t>Zamolba Lejle Ferhatović za priznavanje izbornog predmeta</w:t>
      </w:r>
    </w:p>
    <w:p w:rsidR="00A51D95" w:rsidRDefault="00A51D95" w:rsidP="00BB594B">
      <w:pPr>
        <w:pStyle w:val="ListParagraph"/>
        <w:numPr>
          <w:ilvl w:val="0"/>
          <w:numId w:val="1"/>
        </w:numPr>
        <w:spacing w:after="0" w:line="240" w:lineRule="auto"/>
      </w:pPr>
      <w:r>
        <w:t xml:space="preserve">Zamolbe za priznavanje ECTS </w:t>
      </w:r>
      <w:r w:rsidR="00B36419">
        <w:t>bodova temeljem stručnih poslij</w:t>
      </w:r>
      <w:r>
        <w:t>e</w:t>
      </w:r>
      <w:r w:rsidR="00B36419">
        <w:t>d</w:t>
      </w:r>
      <w:r>
        <w:t>iplomskih studija</w:t>
      </w:r>
      <w:r w:rsidR="00B36419">
        <w:t xml:space="preserve"> i obranjenog magisterija</w:t>
      </w:r>
    </w:p>
    <w:p w:rsidR="00B36419" w:rsidRDefault="00B36419" w:rsidP="00BB594B">
      <w:pPr>
        <w:pStyle w:val="ListParagraph"/>
        <w:numPr>
          <w:ilvl w:val="0"/>
          <w:numId w:val="1"/>
        </w:numPr>
        <w:spacing w:after="0" w:line="240" w:lineRule="auto"/>
      </w:pPr>
      <w:r>
        <w:t>Razno</w:t>
      </w:r>
    </w:p>
    <w:p w:rsidR="00A51D95" w:rsidRDefault="00A51D95" w:rsidP="00BB594B">
      <w:pPr>
        <w:spacing w:after="0" w:line="240" w:lineRule="auto"/>
        <w:rPr>
          <w:b/>
        </w:rPr>
      </w:pPr>
    </w:p>
    <w:p w:rsidR="00A51D95" w:rsidRDefault="00A51D95" w:rsidP="00BB594B">
      <w:pPr>
        <w:spacing w:after="0" w:line="240" w:lineRule="auto"/>
      </w:pPr>
      <w:r w:rsidRPr="008318C4">
        <w:rPr>
          <w:b/>
        </w:rPr>
        <w:t>Nazočni</w:t>
      </w:r>
      <w:r>
        <w:t>: prof. Damir Sapunar, prof. Ivica Grković, doc. Livia Puljak, Ivan Bućan, dr. med. dent.</w:t>
      </w:r>
    </w:p>
    <w:p w:rsidR="00A51D95" w:rsidRDefault="00A51D95" w:rsidP="00BB594B">
      <w:pPr>
        <w:spacing w:after="0" w:line="240" w:lineRule="auto"/>
      </w:pPr>
    </w:p>
    <w:p w:rsidR="00A51D95" w:rsidRPr="00496AB0" w:rsidRDefault="00A51D95" w:rsidP="00BB594B">
      <w:pPr>
        <w:spacing w:after="0" w:line="240" w:lineRule="auto"/>
        <w:rPr>
          <w:b/>
        </w:rPr>
      </w:pPr>
      <w:r>
        <w:rPr>
          <w:b/>
        </w:rPr>
        <w:t>Ad 1.</w:t>
      </w:r>
    </w:p>
    <w:p w:rsidR="00A51D95" w:rsidRDefault="00A51D95" w:rsidP="00BB594B">
      <w:pPr>
        <w:spacing w:after="0"/>
      </w:pPr>
      <w:r>
        <w:t xml:space="preserve">Prema odluci Vijeća doktorske škole, održanog 7. ožujka 2012., pristupnici koji prelaze na doktorske studije Medicinskog fakulteta u Splitu trebaju odslušati 55% nastave studija na koji prelaze. </w:t>
      </w:r>
      <w:r w:rsidR="00BB594B">
        <w:t xml:space="preserve">Ova je odluka potaknuta prijelazom Tee Andabake na studij TRIBE. </w:t>
      </w:r>
      <w:r>
        <w:t>Prva godina studija TRIBE ima 3</w:t>
      </w:r>
      <w:r w:rsidR="00E51621">
        <w:t>0</w:t>
      </w:r>
      <w:r>
        <w:t xml:space="preserve"> ECTS bodova iz nastave, stoga je 55% nastave na prvoj godini 16,5 ECTS bodova.</w:t>
      </w:r>
      <w:r w:rsidR="00BB594B">
        <w:t xml:space="preserve"> </w:t>
      </w:r>
      <w:r>
        <w:t>Druga godina studija TRIBE ima 20 ECTS bodova iz nastave, stoga je 55% nastave na drugoj godini 11 ECTS bodova. Ukupno, Tea Andabaka treba odslušati i položiti predmete studija TRIBE u ukupnoj vrijednosti od najmanje 27,5 ECTS bodova.</w:t>
      </w:r>
    </w:p>
    <w:p w:rsidR="00A51D95" w:rsidRDefault="00A51D95" w:rsidP="00BB594B">
      <w:pPr>
        <w:spacing w:after="0" w:line="240" w:lineRule="auto"/>
      </w:pPr>
      <w:r w:rsidRPr="00E51621">
        <w:t>Tea Andabaka je predložila upis, slušanje i polaganje ovih predmeta:</w:t>
      </w:r>
    </w:p>
    <w:p w:rsidR="00BB594B" w:rsidRDefault="00BB594B" w:rsidP="00BB594B">
      <w:pPr>
        <w:spacing w:after="0" w:line="240" w:lineRule="auto"/>
      </w:pPr>
    </w:p>
    <w:tbl>
      <w:tblPr>
        <w:tblStyle w:val="TableGrid"/>
        <w:tblW w:w="0" w:type="auto"/>
        <w:tblInd w:w="1951" w:type="dxa"/>
        <w:tblLook w:val="04A0"/>
      </w:tblPr>
      <w:tblGrid>
        <w:gridCol w:w="4961"/>
        <w:gridCol w:w="1134"/>
      </w:tblGrid>
      <w:tr w:rsidR="00BB594B" w:rsidRPr="00BB594B" w:rsidTr="00BA1F53">
        <w:tc>
          <w:tcPr>
            <w:tcW w:w="4961" w:type="dxa"/>
          </w:tcPr>
          <w:p w:rsidR="00BB594B" w:rsidRPr="00BB594B" w:rsidRDefault="00BB594B" w:rsidP="00591404">
            <w:r>
              <w:t>Predmet</w:t>
            </w:r>
          </w:p>
        </w:tc>
        <w:tc>
          <w:tcPr>
            <w:tcW w:w="1134" w:type="dxa"/>
          </w:tcPr>
          <w:p w:rsidR="00BB594B" w:rsidRPr="00BB594B" w:rsidRDefault="00BB594B" w:rsidP="00591404">
            <w:r>
              <w:t>ECST</w:t>
            </w:r>
          </w:p>
        </w:tc>
      </w:tr>
      <w:tr w:rsidR="00BB594B" w:rsidRPr="00BB594B" w:rsidTr="00BA1F53">
        <w:tc>
          <w:tcPr>
            <w:tcW w:w="4961" w:type="dxa"/>
          </w:tcPr>
          <w:p w:rsidR="00BB594B" w:rsidRPr="00BB594B" w:rsidRDefault="00BB594B" w:rsidP="00591404">
            <w:r w:rsidRPr="00BB594B">
              <w:t>Prva godina</w:t>
            </w:r>
          </w:p>
        </w:tc>
        <w:tc>
          <w:tcPr>
            <w:tcW w:w="1134" w:type="dxa"/>
          </w:tcPr>
          <w:p w:rsidR="00BB594B" w:rsidRPr="00BB594B" w:rsidRDefault="00BB594B" w:rsidP="00591404"/>
        </w:tc>
      </w:tr>
      <w:tr w:rsidR="00BB594B" w:rsidRPr="00BB594B" w:rsidTr="00BA1F53">
        <w:tc>
          <w:tcPr>
            <w:tcW w:w="4961" w:type="dxa"/>
          </w:tcPr>
          <w:p w:rsidR="00BB594B" w:rsidRPr="00BB594B" w:rsidRDefault="00BB594B" w:rsidP="00591404">
            <w:r w:rsidRPr="00BB594B">
              <w:t>Uvod u znanstveni rad</w:t>
            </w:r>
          </w:p>
        </w:tc>
        <w:tc>
          <w:tcPr>
            <w:tcW w:w="1134" w:type="dxa"/>
          </w:tcPr>
          <w:p w:rsidR="00BB594B" w:rsidRPr="00BB594B" w:rsidRDefault="00BB594B" w:rsidP="00591404">
            <w:r>
              <w:t>3</w:t>
            </w:r>
          </w:p>
        </w:tc>
      </w:tr>
      <w:tr w:rsidR="00BB594B" w:rsidRPr="00BB594B" w:rsidTr="00BA1F53">
        <w:tc>
          <w:tcPr>
            <w:tcW w:w="4961" w:type="dxa"/>
          </w:tcPr>
          <w:p w:rsidR="00BB594B" w:rsidRPr="00BB594B" w:rsidRDefault="00BB594B" w:rsidP="007407E7">
            <w:r w:rsidRPr="00BB594B">
              <w:t>Pisanje znanstvenog članka</w:t>
            </w:r>
          </w:p>
        </w:tc>
        <w:tc>
          <w:tcPr>
            <w:tcW w:w="1134" w:type="dxa"/>
          </w:tcPr>
          <w:p w:rsidR="00BB594B" w:rsidRPr="00BB594B" w:rsidRDefault="00BB594B" w:rsidP="00591404">
            <w:r>
              <w:t>3</w:t>
            </w:r>
          </w:p>
        </w:tc>
      </w:tr>
      <w:tr w:rsidR="00BB594B" w:rsidRPr="00BB594B" w:rsidTr="00BA1F53">
        <w:tc>
          <w:tcPr>
            <w:tcW w:w="4961" w:type="dxa"/>
          </w:tcPr>
          <w:p w:rsidR="00BB594B" w:rsidRPr="00BB594B" w:rsidRDefault="00BB594B" w:rsidP="00591404">
            <w:r w:rsidRPr="00BB594B">
              <w:t>Procjena vrijednosti znanstvenog članka</w:t>
            </w:r>
          </w:p>
        </w:tc>
        <w:tc>
          <w:tcPr>
            <w:tcW w:w="1134" w:type="dxa"/>
          </w:tcPr>
          <w:p w:rsidR="00BB594B" w:rsidRPr="00BB594B" w:rsidRDefault="004733E8" w:rsidP="00591404">
            <w:r>
              <w:t>3</w:t>
            </w:r>
          </w:p>
        </w:tc>
      </w:tr>
      <w:tr w:rsidR="00BB594B" w:rsidRPr="00BB594B" w:rsidTr="00BA1F53">
        <w:tc>
          <w:tcPr>
            <w:tcW w:w="4961" w:type="dxa"/>
          </w:tcPr>
          <w:p w:rsidR="00BB594B" w:rsidRPr="00BB594B" w:rsidRDefault="00BB594B" w:rsidP="00591404">
            <w:r w:rsidRPr="00BB594B">
              <w:t>Pokusne životinje i životinjski modeli</w:t>
            </w:r>
          </w:p>
        </w:tc>
        <w:tc>
          <w:tcPr>
            <w:tcW w:w="1134" w:type="dxa"/>
          </w:tcPr>
          <w:p w:rsidR="00BB594B" w:rsidRPr="00BB594B" w:rsidRDefault="007D6A99" w:rsidP="00591404">
            <w:r>
              <w:t>3</w:t>
            </w:r>
          </w:p>
        </w:tc>
      </w:tr>
      <w:tr w:rsidR="00BB594B" w:rsidRPr="00BB594B" w:rsidTr="00BA1F53">
        <w:tc>
          <w:tcPr>
            <w:tcW w:w="4961" w:type="dxa"/>
          </w:tcPr>
          <w:p w:rsidR="00BB594B" w:rsidRPr="00BB594B" w:rsidRDefault="00BB594B" w:rsidP="00591404">
            <w:r w:rsidRPr="00BB594B">
              <w:t>Organizacija i sigurnost laboratorijskog</w:t>
            </w:r>
            <w:r>
              <w:t xml:space="preserve"> rada</w:t>
            </w:r>
          </w:p>
        </w:tc>
        <w:tc>
          <w:tcPr>
            <w:tcW w:w="1134" w:type="dxa"/>
          </w:tcPr>
          <w:p w:rsidR="00BB594B" w:rsidRPr="00BB594B" w:rsidRDefault="007D6A99" w:rsidP="00591404">
            <w:r>
              <w:t>3</w:t>
            </w:r>
          </w:p>
        </w:tc>
      </w:tr>
      <w:tr w:rsidR="004733E8" w:rsidRPr="00BB594B" w:rsidTr="00BA1F53">
        <w:tc>
          <w:tcPr>
            <w:tcW w:w="4961" w:type="dxa"/>
          </w:tcPr>
          <w:p w:rsidR="004733E8" w:rsidRPr="00BB594B" w:rsidRDefault="004733E8" w:rsidP="00591404">
            <w:r>
              <w:t>Izrada prijave disertacije</w:t>
            </w:r>
          </w:p>
        </w:tc>
        <w:tc>
          <w:tcPr>
            <w:tcW w:w="1134" w:type="dxa"/>
          </w:tcPr>
          <w:p w:rsidR="004733E8" w:rsidRPr="00BB594B" w:rsidRDefault="004733E8" w:rsidP="00591404">
            <w:r>
              <w:t>3</w:t>
            </w:r>
          </w:p>
        </w:tc>
      </w:tr>
      <w:tr w:rsidR="004733E8" w:rsidRPr="00BB594B" w:rsidTr="00BA1F53">
        <w:tc>
          <w:tcPr>
            <w:tcW w:w="4961" w:type="dxa"/>
          </w:tcPr>
          <w:p w:rsidR="004733E8" w:rsidRPr="00BB594B" w:rsidRDefault="004733E8" w:rsidP="00BB594B">
            <w:pPr>
              <w:jc w:val="right"/>
            </w:pPr>
            <w:r>
              <w:t>Ukupno na prvoj godini</w:t>
            </w:r>
          </w:p>
        </w:tc>
        <w:tc>
          <w:tcPr>
            <w:tcW w:w="1134" w:type="dxa"/>
          </w:tcPr>
          <w:p w:rsidR="004733E8" w:rsidRPr="00BB594B" w:rsidRDefault="004733E8" w:rsidP="00591404">
            <w:r>
              <w:t>18</w:t>
            </w:r>
          </w:p>
        </w:tc>
      </w:tr>
      <w:tr w:rsidR="004733E8" w:rsidRPr="00BB594B" w:rsidTr="00BA1F53">
        <w:tc>
          <w:tcPr>
            <w:tcW w:w="4961" w:type="dxa"/>
          </w:tcPr>
          <w:p w:rsidR="004733E8" w:rsidRPr="00BB594B" w:rsidRDefault="004733E8" w:rsidP="00591404">
            <w:r w:rsidRPr="00BB594B">
              <w:t>Druga godina</w:t>
            </w:r>
          </w:p>
        </w:tc>
        <w:tc>
          <w:tcPr>
            <w:tcW w:w="1134" w:type="dxa"/>
          </w:tcPr>
          <w:p w:rsidR="004733E8" w:rsidRPr="00BB594B" w:rsidRDefault="004733E8" w:rsidP="00591404"/>
        </w:tc>
      </w:tr>
      <w:tr w:rsidR="004733E8" w:rsidRPr="00BB594B" w:rsidTr="00BA1F53">
        <w:tc>
          <w:tcPr>
            <w:tcW w:w="4961" w:type="dxa"/>
          </w:tcPr>
          <w:p w:rsidR="004733E8" w:rsidRPr="00BB594B" w:rsidRDefault="004733E8" w:rsidP="00591404">
            <w:r>
              <w:t>Zagonetka boli</w:t>
            </w:r>
          </w:p>
        </w:tc>
        <w:tc>
          <w:tcPr>
            <w:tcW w:w="1134" w:type="dxa"/>
          </w:tcPr>
          <w:p w:rsidR="004733E8" w:rsidRPr="00BB594B" w:rsidRDefault="004733E8" w:rsidP="00591404">
            <w:r>
              <w:t>2</w:t>
            </w:r>
          </w:p>
        </w:tc>
      </w:tr>
      <w:tr w:rsidR="004733E8" w:rsidRPr="00BB594B" w:rsidTr="00BA1F53">
        <w:tc>
          <w:tcPr>
            <w:tcW w:w="4961" w:type="dxa"/>
          </w:tcPr>
          <w:p w:rsidR="004733E8" w:rsidRPr="00BB594B" w:rsidRDefault="004733E8" w:rsidP="00591404">
            <w:r>
              <w:t>Avanture osjeta boli u mozgu</w:t>
            </w:r>
          </w:p>
        </w:tc>
        <w:tc>
          <w:tcPr>
            <w:tcW w:w="1134" w:type="dxa"/>
          </w:tcPr>
          <w:p w:rsidR="004733E8" w:rsidRPr="00BB594B" w:rsidRDefault="004733E8" w:rsidP="00591404">
            <w:r>
              <w:t>2</w:t>
            </w:r>
          </w:p>
        </w:tc>
      </w:tr>
      <w:tr w:rsidR="004733E8" w:rsidRPr="00BB594B" w:rsidTr="00BA1F53">
        <w:tc>
          <w:tcPr>
            <w:tcW w:w="4961" w:type="dxa"/>
          </w:tcPr>
          <w:p w:rsidR="004733E8" w:rsidRPr="00BB594B" w:rsidRDefault="004733E8" w:rsidP="00591404">
            <w:r w:rsidRPr="00BB594B">
              <w:t>Gledanje nevidljivog</w:t>
            </w:r>
          </w:p>
        </w:tc>
        <w:tc>
          <w:tcPr>
            <w:tcW w:w="1134" w:type="dxa"/>
          </w:tcPr>
          <w:p w:rsidR="004733E8" w:rsidRPr="00BB594B" w:rsidRDefault="004733E8" w:rsidP="00591404">
            <w:r>
              <w:t>2</w:t>
            </w:r>
          </w:p>
        </w:tc>
      </w:tr>
      <w:tr w:rsidR="004733E8" w:rsidRPr="00BB594B" w:rsidTr="00BA1F53">
        <w:tc>
          <w:tcPr>
            <w:tcW w:w="4961" w:type="dxa"/>
          </w:tcPr>
          <w:p w:rsidR="004733E8" w:rsidRPr="00BB594B" w:rsidRDefault="004733E8" w:rsidP="00591404">
            <w:r>
              <w:t>Cochrane knjižnica i dokazi u medicini</w:t>
            </w:r>
          </w:p>
        </w:tc>
        <w:tc>
          <w:tcPr>
            <w:tcW w:w="1134" w:type="dxa"/>
          </w:tcPr>
          <w:p w:rsidR="004733E8" w:rsidRPr="00BB594B" w:rsidRDefault="004733E8" w:rsidP="00591404">
            <w:r>
              <w:t>2</w:t>
            </w:r>
          </w:p>
        </w:tc>
      </w:tr>
      <w:tr w:rsidR="004733E8" w:rsidRPr="00BB594B" w:rsidTr="00BA1F53">
        <w:tc>
          <w:tcPr>
            <w:tcW w:w="4961" w:type="dxa"/>
          </w:tcPr>
          <w:p w:rsidR="004733E8" w:rsidRPr="00BB594B" w:rsidRDefault="004733E8" w:rsidP="00591404">
            <w:r>
              <w:t>Razvoj spinalnih ganglija</w:t>
            </w:r>
          </w:p>
        </w:tc>
        <w:tc>
          <w:tcPr>
            <w:tcW w:w="1134" w:type="dxa"/>
          </w:tcPr>
          <w:p w:rsidR="004733E8" w:rsidRPr="00BB594B" w:rsidRDefault="004733E8" w:rsidP="00591404">
            <w:r>
              <w:t>2</w:t>
            </w:r>
          </w:p>
        </w:tc>
      </w:tr>
      <w:tr w:rsidR="004733E8" w:rsidRPr="00BB594B" w:rsidTr="00BA1F53">
        <w:tc>
          <w:tcPr>
            <w:tcW w:w="4961" w:type="dxa"/>
          </w:tcPr>
          <w:p w:rsidR="004733E8" w:rsidRPr="00BB594B" w:rsidRDefault="004733E8" w:rsidP="00591404">
            <w:r>
              <w:t>Komunikacijske i prezentacijske vještine</w:t>
            </w:r>
          </w:p>
        </w:tc>
        <w:tc>
          <w:tcPr>
            <w:tcW w:w="1134" w:type="dxa"/>
          </w:tcPr>
          <w:p w:rsidR="004733E8" w:rsidRPr="00BB594B" w:rsidRDefault="004733E8" w:rsidP="00591404">
            <w:r>
              <w:t>2</w:t>
            </w:r>
          </w:p>
        </w:tc>
      </w:tr>
      <w:tr w:rsidR="004733E8" w:rsidRPr="00BB594B" w:rsidTr="00BA1F53">
        <w:tc>
          <w:tcPr>
            <w:tcW w:w="4961" w:type="dxa"/>
          </w:tcPr>
          <w:p w:rsidR="004733E8" w:rsidRPr="00BB594B" w:rsidRDefault="004733E8" w:rsidP="00BB594B">
            <w:pPr>
              <w:jc w:val="right"/>
            </w:pPr>
            <w:r>
              <w:t>Ukupno na drugoj godini</w:t>
            </w:r>
          </w:p>
        </w:tc>
        <w:tc>
          <w:tcPr>
            <w:tcW w:w="1134" w:type="dxa"/>
          </w:tcPr>
          <w:p w:rsidR="004733E8" w:rsidRPr="00BB594B" w:rsidRDefault="004733E8" w:rsidP="00591404">
            <w:r>
              <w:t>12</w:t>
            </w:r>
          </w:p>
        </w:tc>
      </w:tr>
      <w:tr w:rsidR="004733E8" w:rsidRPr="00BB594B" w:rsidTr="00BA1F53">
        <w:tc>
          <w:tcPr>
            <w:tcW w:w="4961" w:type="dxa"/>
          </w:tcPr>
          <w:p w:rsidR="004733E8" w:rsidRPr="00BB594B" w:rsidRDefault="004733E8" w:rsidP="00BB594B">
            <w:pPr>
              <w:jc w:val="right"/>
            </w:pPr>
          </w:p>
        </w:tc>
        <w:tc>
          <w:tcPr>
            <w:tcW w:w="1134" w:type="dxa"/>
          </w:tcPr>
          <w:p w:rsidR="004733E8" w:rsidRPr="00BB594B" w:rsidRDefault="004733E8" w:rsidP="00591404"/>
        </w:tc>
      </w:tr>
    </w:tbl>
    <w:p w:rsidR="00A51D95" w:rsidRDefault="00A51D95" w:rsidP="00BB594B">
      <w:pPr>
        <w:spacing w:after="0" w:line="240" w:lineRule="auto"/>
      </w:pPr>
    </w:p>
    <w:p w:rsidR="00A51D95" w:rsidRDefault="00A51D95" w:rsidP="00BB594B">
      <w:pPr>
        <w:spacing w:after="0" w:line="240" w:lineRule="auto"/>
      </w:pPr>
      <w:r w:rsidRPr="00E51621">
        <w:t>Prijedlog je prihvaćen jednoglasno.</w:t>
      </w:r>
    </w:p>
    <w:p w:rsidR="00A51D95" w:rsidRDefault="00A51D95" w:rsidP="00BB594B">
      <w:pPr>
        <w:spacing w:after="0" w:line="240" w:lineRule="auto"/>
      </w:pPr>
    </w:p>
    <w:p w:rsidR="00A51D95" w:rsidRPr="00496AB0" w:rsidRDefault="00A51D95" w:rsidP="00BB594B">
      <w:pPr>
        <w:spacing w:after="0" w:line="240" w:lineRule="auto"/>
        <w:rPr>
          <w:b/>
        </w:rPr>
      </w:pPr>
      <w:r w:rsidRPr="00496AB0">
        <w:rPr>
          <w:b/>
        </w:rPr>
        <w:t xml:space="preserve">Ad </w:t>
      </w:r>
      <w:r>
        <w:rPr>
          <w:b/>
        </w:rPr>
        <w:t>2.</w:t>
      </w:r>
    </w:p>
    <w:p w:rsidR="00A51D95" w:rsidRDefault="00A51D95" w:rsidP="00BB594B">
      <w:pPr>
        <w:spacing w:after="0" w:line="240" w:lineRule="auto"/>
      </w:pPr>
      <w:r>
        <w:t xml:space="preserve">Tea Andabaka poslala je 2. svibnja 2012. zamolbu za oslobađanjem od skupnog ispita s obrazloženjem da je nakon završenog dodiplomskog studija Biotehnologije pri prehrambeno-biotehnološkom fakultetu upisala i završila poslijediplomski doktorski studij Medicinske biokemije pri Farmaceutsko-biokemijskom fakultetu u Zagrebu. Prilikom upisa poslijediplomskog studija </w:t>
      </w:r>
      <w:r>
        <w:lastRenderedPageBreak/>
        <w:t>Medicinske biokemije, od nje se tražilo polaganje 4 ispita razlike poradi prelaska iz područja Biotehničkih znanosti u područje Biomedicina i zdravstvo. Pritom je položila ove kolegije: Fiziologija, Patofiziologija, Medicinska biokemija i Hematologija, prema priloženim udžbenicima i s navedenim ispitivačima.</w:t>
      </w:r>
    </w:p>
    <w:p w:rsidR="00A51D95" w:rsidRDefault="00A51D95" w:rsidP="00BB594B">
      <w:pPr>
        <w:spacing w:after="0" w:line="240" w:lineRule="auto"/>
      </w:pPr>
      <w:r w:rsidRPr="00E51621">
        <w:t>Vijeće studija TRIBE suglasno je s ovom zamolbom i predložit će se Vijeću doktorske škole da se udovolji zamolbi Tee Andabake.</w:t>
      </w:r>
    </w:p>
    <w:p w:rsidR="00A51D95" w:rsidRDefault="00A51D95" w:rsidP="00BB594B">
      <w:pPr>
        <w:spacing w:after="0" w:line="240" w:lineRule="auto"/>
      </w:pPr>
    </w:p>
    <w:p w:rsidR="00A51D95" w:rsidRPr="00496AB0" w:rsidRDefault="00A51D95" w:rsidP="00BB594B">
      <w:pPr>
        <w:spacing w:after="0" w:line="240" w:lineRule="auto"/>
        <w:rPr>
          <w:b/>
        </w:rPr>
      </w:pPr>
      <w:r w:rsidRPr="00496AB0">
        <w:rPr>
          <w:b/>
        </w:rPr>
        <w:t>Ad 3.</w:t>
      </w:r>
    </w:p>
    <w:p w:rsidR="00A51D95" w:rsidRDefault="00A51D95" w:rsidP="00BB594B">
      <w:pPr>
        <w:spacing w:after="0" w:line="240" w:lineRule="auto"/>
      </w:pPr>
      <w:r>
        <w:t xml:space="preserve">Lejla Ferhatović poslala je zamolbu da joj se prizna pohađanje nastave </w:t>
      </w:r>
      <w:r w:rsidRPr="00A51D95">
        <w:rPr>
          <w:i/>
        </w:rPr>
        <w:t>Metodološki tečajevi u biologiji i medicini – DNA i RNA</w:t>
      </w:r>
      <w:r>
        <w:t>. Ovaj je tečaj pohađala na Institutu Ruđer Bošković u Zagrebu u razdoblju od 26. – 30. ožujka 2012. i tečaj je sadržavao 50 školskih sati</w:t>
      </w:r>
      <w:r w:rsidR="00905C69">
        <w:t>. D</w:t>
      </w:r>
      <w:r w:rsidR="00546D0C">
        <w:t xml:space="preserve">ostavila je plan i </w:t>
      </w:r>
      <w:r w:rsidR="00905C69">
        <w:t>program tečaja</w:t>
      </w:r>
      <w:r>
        <w:t xml:space="preserve">. U skladu s odlukom Vijeća </w:t>
      </w:r>
      <w:r w:rsidR="00E120FE">
        <w:t xml:space="preserve">studija TRIBE </w:t>
      </w:r>
      <w:r>
        <w:t xml:space="preserve">od 20. veljače 2012. </w:t>
      </w:r>
      <w:r w:rsidR="00E120FE">
        <w:t>p</w:t>
      </w:r>
      <w:r>
        <w:t xml:space="preserve">rema kojoj se za svaki sat </w:t>
      </w:r>
      <w:r w:rsidR="00E120FE" w:rsidRPr="00E51621">
        <w:t>ovakvih</w:t>
      </w:r>
      <w:r w:rsidRPr="00E51621">
        <w:t xml:space="preserve"> aktivnosti priznaje 0,1 ECTS bod, Vijeće odlučuje da se Lejli Ferhatović za pohađanje tečaja priznaje 5 ECTS bodova.</w:t>
      </w:r>
    </w:p>
    <w:p w:rsidR="00A51D95" w:rsidRDefault="00A51D95" w:rsidP="00BB594B">
      <w:pPr>
        <w:spacing w:after="0" w:line="240" w:lineRule="auto"/>
        <w:rPr>
          <w:b/>
        </w:rPr>
      </w:pPr>
    </w:p>
    <w:p w:rsidR="00A51D95" w:rsidRPr="00212B62" w:rsidRDefault="00A51D95" w:rsidP="00BB594B">
      <w:pPr>
        <w:spacing w:after="0" w:line="240" w:lineRule="auto"/>
        <w:rPr>
          <w:b/>
        </w:rPr>
      </w:pPr>
      <w:r w:rsidRPr="00212B62">
        <w:rPr>
          <w:b/>
        </w:rPr>
        <w:t xml:space="preserve">Ad </w:t>
      </w:r>
      <w:r>
        <w:rPr>
          <w:b/>
        </w:rPr>
        <w:t>4.</w:t>
      </w:r>
    </w:p>
    <w:p w:rsidR="00A51D95" w:rsidRPr="00D41E3E" w:rsidRDefault="00A51D95" w:rsidP="00BB594B">
      <w:pPr>
        <w:spacing w:after="0" w:line="240" w:lineRule="auto"/>
      </w:pPr>
      <w:r>
        <w:t xml:space="preserve">Prema važećim pravilima, studentima se ECTS bodovi stečeni na stručnim poslijediplomskim studijima mogu priznati samo za izborne predmete. Doktorandu Andreju Radiću i Jerku Ferri-Certiću umjesto priznavanja obveznih priznati su izborni predmeti. Ivani Dujmović priznato je 90 ECTS </w:t>
      </w:r>
      <w:r w:rsidRPr="00D41E3E">
        <w:t>bodova temeljem obranjenog magisterija.</w:t>
      </w:r>
    </w:p>
    <w:p w:rsidR="00BA1F53" w:rsidRDefault="00BA1F53" w:rsidP="00BB594B">
      <w:pPr>
        <w:spacing w:after="0" w:line="240" w:lineRule="auto"/>
      </w:pPr>
      <w:r w:rsidRPr="00D41E3E">
        <w:t>Za ostale zaprimljene molbe (Eduard Rod, Sanda Mustapić, Josip Sobin, Sandra Kostić) očekuje se potvrda na Vijeću Doktorske škole. U međuvremenu ti studenti mogu obaviti upis u višu godinu sukladno do</w:t>
      </w:r>
      <w:r w:rsidR="00D41E3E" w:rsidRPr="00D41E3E">
        <w:t>govoru s predsjednicom Vijeća doktorske škole, prof. dr. sc. Snježanom Tomić</w:t>
      </w:r>
      <w:r w:rsidRPr="00D41E3E">
        <w:t>.</w:t>
      </w:r>
    </w:p>
    <w:p w:rsidR="00612EB1" w:rsidRDefault="00612EB1" w:rsidP="00BB594B">
      <w:pPr>
        <w:spacing w:after="0" w:line="240" w:lineRule="auto"/>
      </w:pPr>
    </w:p>
    <w:p w:rsidR="00612EB1" w:rsidRPr="00612EB1" w:rsidRDefault="00612EB1" w:rsidP="00BB594B">
      <w:pPr>
        <w:spacing w:after="0" w:line="240" w:lineRule="auto"/>
        <w:rPr>
          <w:b/>
        </w:rPr>
      </w:pPr>
      <w:r w:rsidRPr="00612EB1">
        <w:rPr>
          <w:b/>
        </w:rPr>
        <w:t xml:space="preserve">Ad 5. </w:t>
      </w:r>
    </w:p>
    <w:p w:rsidR="00612EB1" w:rsidRDefault="00612EB1" w:rsidP="00BB594B">
      <w:pPr>
        <w:spacing w:after="0" w:line="240" w:lineRule="auto"/>
      </w:pPr>
      <w:r>
        <w:t>Prof. Sapunar je izvijestio da je uspješno započela nastava na prvoj i drugoj godini studija TRIBE. Nastava se uglavnom odvija po planu. Jedino odstupanje dosad nastalo je odgodom kolegija Opća biostatistika, jer je doc. Ozren Polašek javio da zbog terenskog istraživanja na Korčuli nije u mogućnosti odraditi nastavu na svom predmetu u predviđenom terminu od 17-19. svibnja 2012. Studenti su obaviješteni e-poštom i telefonski o ovoj promjeni, a novi termin održavanja predmeta studentima će se javiti čim doc. Polašek javi.</w:t>
      </w:r>
    </w:p>
    <w:p w:rsidR="00A51D95" w:rsidRDefault="00A51D95" w:rsidP="00BB594B">
      <w:pPr>
        <w:spacing w:after="0" w:line="240" w:lineRule="auto"/>
      </w:pPr>
    </w:p>
    <w:p w:rsidR="00A51D95" w:rsidRDefault="00A51D95" w:rsidP="00BB594B">
      <w:pPr>
        <w:spacing w:after="0" w:line="240" w:lineRule="auto"/>
      </w:pPr>
    </w:p>
    <w:p w:rsidR="00E51621" w:rsidRDefault="00E51621" w:rsidP="00E51621">
      <w:pPr>
        <w:spacing w:after="0" w:line="240" w:lineRule="auto"/>
      </w:pPr>
      <w:r>
        <w:t>Trajanje sastanka: 13.00 – 13.30</w:t>
      </w:r>
    </w:p>
    <w:p w:rsidR="00E51621" w:rsidRDefault="00E51621">
      <w:pPr>
        <w:spacing w:after="0" w:line="240" w:lineRule="auto"/>
      </w:pPr>
      <w:r>
        <w:t>Zapisnik vodila: Livia Puljak</w:t>
      </w:r>
    </w:p>
    <w:sectPr w:rsidR="00E51621" w:rsidSect="00E970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601CA"/>
    <w:multiLevelType w:val="hybridMultilevel"/>
    <w:tmpl w:val="66F42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hyphenationZone w:val="425"/>
  <w:characterSpacingControl w:val="doNotCompress"/>
  <w:compat/>
  <w:rsids>
    <w:rsidRoot w:val="00A51D95"/>
    <w:rsid w:val="00413925"/>
    <w:rsid w:val="004733E8"/>
    <w:rsid w:val="00546D0C"/>
    <w:rsid w:val="00612EB1"/>
    <w:rsid w:val="007D6A99"/>
    <w:rsid w:val="0081014D"/>
    <w:rsid w:val="00831391"/>
    <w:rsid w:val="00861CAC"/>
    <w:rsid w:val="0086433D"/>
    <w:rsid w:val="00905C69"/>
    <w:rsid w:val="009434FB"/>
    <w:rsid w:val="009E246F"/>
    <w:rsid w:val="00A51D95"/>
    <w:rsid w:val="00B36419"/>
    <w:rsid w:val="00B77006"/>
    <w:rsid w:val="00BA1F53"/>
    <w:rsid w:val="00BB594B"/>
    <w:rsid w:val="00D41E3E"/>
    <w:rsid w:val="00D609D2"/>
    <w:rsid w:val="00E120FE"/>
    <w:rsid w:val="00E51621"/>
    <w:rsid w:val="00F93CB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95"/>
    <w:pPr>
      <w:ind w:left="720"/>
      <w:contextualSpacing/>
    </w:pPr>
  </w:style>
  <w:style w:type="table" w:styleId="TableGrid">
    <w:name w:val="Table Grid"/>
    <w:basedOn w:val="TableNormal"/>
    <w:uiPriority w:val="59"/>
    <w:rsid w:val="00BB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Livia Puljak</cp:lastModifiedBy>
  <cp:revision>2</cp:revision>
  <cp:lastPrinted>2012-05-18T07:26:00Z</cp:lastPrinted>
  <dcterms:created xsi:type="dcterms:W3CDTF">2013-02-12T10:30:00Z</dcterms:created>
  <dcterms:modified xsi:type="dcterms:W3CDTF">2013-02-12T10:30:00Z</dcterms:modified>
</cp:coreProperties>
</file>